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7C944" w14:textId="77777777" w:rsidR="008A0292" w:rsidRDefault="008A0292" w:rsidP="4C2B5F89">
      <w:pPr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t>Attachment 1 to Inclusionary Housing Plan</w:t>
      </w:r>
    </w:p>
    <w:p w14:paraId="2C078E63" w14:textId="0A7E2754" w:rsidR="0074073B" w:rsidRDefault="30C7AE63" w:rsidP="4C2B5F89">
      <w:pPr>
        <w:jc w:val="center"/>
        <w:rPr>
          <w:rFonts w:ascii="Arial" w:eastAsia="Arial" w:hAnsi="Arial" w:cs="Arial"/>
          <w:b/>
          <w:bCs/>
          <w:u w:val="single"/>
        </w:rPr>
      </w:pPr>
      <w:r w:rsidRPr="00C52233">
        <w:rPr>
          <w:rFonts w:ascii="Arial" w:eastAsia="Arial" w:hAnsi="Arial" w:cs="Arial"/>
          <w:b/>
          <w:bCs/>
          <w:u w:val="single"/>
        </w:rPr>
        <w:t xml:space="preserve">Inclusionary Housing </w:t>
      </w:r>
      <w:r w:rsidR="698631A0" w:rsidRPr="00C52233">
        <w:rPr>
          <w:rFonts w:ascii="Arial" w:eastAsia="Arial" w:hAnsi="Arial" w:cs="Arial"/>
          <w:b/>
          <w:bCs/>
          <w:u w:val="single"/>
        </w:rPr>
        <w:t xml:space="preserve">Fair Housing and Marketing Plan – </w:t>
      </w:r>
      <w:r w:rsidR="00BA66D6">
        <w:rPr>
          <w:rFonts w:ascii="Arial" w:eastAsia="Arial" w:hAnsi="Arial" w:cs="Arial"/>
          <w:b/>
          <w:bCs/>
          <w:u w:val="single"/>
        </w:rPr>
        <w:t>TEMPLATE</w:t>
      </w:r>
    </w:p>
    <w:p w14:paraId="434EA7F6" w14:textId="77777777" w:rsidR="008A0292" w:rsidRPr="00C52233" w:rsidRDefault="008A0292" w:rsidP="4C2B5F89">
      <w:pPr>
        <w:jc w:val="center"/>
        <w:rPr>
          <w:rFonts w:ascii="Arial" w:eastAsia="Arial" w:hAnsi="Arial" w:cs="Arial"/>
          <w:b/>
          <w:bCs/>
          <w:u w:val="single"/>
        </w:rPr>
      </w:pPr>
    </w:p>
    <w:p w14:paraId="23E67892" w14:textId="26BA84DA" w:rsidR="766681A7" w:rsidRPr="00BA66D6" w:rsidRDefault="766681A7" w:rsidP="4C2B5F89">
      <w:pPr>
        <w:rPr>
          <w:rFonts w:ascii="Arial" w:eastAsia="Arial" w:hAnsi="Arial" w:cs="Arial"/>
          <w:i/>
          <w:iCs/>
          <w:color w:val="595959" w:themeColor="text1" w:themeTint="A6"/>
        </w:rPr>
      </w:pPr>
      <w:r w:rsidRPr="00BA66D6">
        <w:rPr>
          <w:rFonts w:ascii="Arial" w:eastAsia="Arial" w:hAnsi="Arial" w:cs="Arial"/>
          <w:i/>
          <w:iCs/>
          <w:color w:val="595959" w:themeColor="text1" w:themeTint="A6"/>
        </w:rPr>
        <w:t xml:space="preserve">A Fair Housing and Marketing plan </w:t>
      </w:r>
      <w:r w:rsidR="00BA66D6" w:rsidRPr="00BA66D6">
        <w:rPr>
          <w:rFonts w:ascii="Arial" w:eastAsia="Arial" w:hAnsi="Arial" w:cs="Arial"/>
          <w:i/>
          <w:iCs/>
          <w:color w:val="595959" w:themeColor="text1" w:themeTint="A6"/>
        </w:rPr>
        <w:t xml:space="preserve">is </w:t>
      </w:r>
      <w:r w:rsidRPr="00BA66D6">
        <w:rPr>
          <w:rFonts w:ascii="Arial" w:eastAsia="Arial" w:hAnsi="Arial" w:cs="Arial"/>
          <w:i/>
          <w:iCs/>
          <w:color w:val="595959" w:themeColor="text1" w:themeTint="A6"/>
        </w:rPr>
        <w:t>required as part of the Inclusionary Housing Plan submittal</w:t>
      </w:r>
      <w:r w:rsidR="008A0292" w:rsidRPr="00BA66D6">
        <w:rPr>
          <w:rFonts w:ascii="Arial" w:eastAsia="Arial" w:hAnsi="Arial" w:cs="Arial"/>
          <w:i/>
          <w:iCs/>
          <w:color w:val="595959" w:themeColor="text1" w:themeTint="A6"/>
        </w:rPr>
        <w:t>, in compliance with City of East Palo Alto Municipal Code Section 18.37.</w:t>
      </w:r>
      <w:r w:rsidR="00E059B4" w:rsidRPr="00BA66D6">
        <w:rPr>
          <w:rFonts w:ascii="Arial" w:eastAsia="Arial" w:hAnsi="Arial" w:cs="Arial"/>
          <w:i/>
          <w:iCs/>
          <w:color w:val="595959" w:themeColor="text1" w:themeTint="A6"/>
        </w:rPr>
        <w:t>090</w:t>
      </w:r>
      <w:r w:rsidRPr="00BA66D6">
        <w:rPr>
          <w:rFonts w:ascii="Arial" w:eastAsia="Arial" w:hAnsi="Arial" w:cs="Arial"/>
          <w:i/>
          <w:iCs/>
          <w:color w:val="595959" w:themeColor="text1" w:themeTint="A6"/>
        </w:rPr>
        <w:t xml:space="preserve">. </w:t>
      </w:r>
      <w:r w:rsidR="01877B42" w:rsidRPr="00BA66D6">
        <w:rPr>
          <w:rFonts w:ascii="Arial" w:eastAsia="Arial" w:hAnsi="Arial" w:cs="Arial"/>
          <w:i/>
          <w:iCs/>
          <w:color w:val="595959" w:themeColor="text1" w:themeTint="A6"/>
        </w:rPr>
        <w:t>Th</w:t>
      </w:r>
      <w:r w:rsidR="19CA44AC" w:rsidRPr="00BA66D6">
        <w:rPr>
          <w:rFonts w:ascii="Arial" w:eastAsia="Arial" w:hAnsi="Arial" w:cs="Arial"/>
          <w:i/>
          <w:iCs/>
          <w:color w:val="595959" w:themeColor="text1" w:themeTint="A6"/>
        </w:rPr>
        <w:t>e Fair Housing and Marketing</w:t>
      </w:r>
      <w:r w:rsidR="01877B42" w:rsidRPr="00BA66D6">
        <w:rPr>
          <w:rFonts w:ascii="Arial" w:eastAsia="Arial" w:hAnsi="Arial" w:cs="Arial"/>
          <w:i/>
          <w:iCs/>
          <w:color w:val="595959" w:themeColor="text1" w:themeTint="A6"/>
        </w:rPr>
        <w:t xml:space="preserve"> </w:t>
      </w:r>
      <w:r w:rsidR="216042BE" w:rsidRPr="00BA66D6">
        <w:rPr>
          <w:rFonts w:ascii="Arial" w:eastAsia="Arial" w:hAnsi="Arial" w:cs="Arial"/>
          <w:i/>
          <w:iCs/>
          <w:color w:val="595959" w:themeColor="text1" w:themeTint="A6"/>
        </w:rPr>
        <w:t>P</w:t>
      </w:r>
      <w:r w:rsidR="01877B42" w:rsidRPr="00BA66D6">
        <w:rPr>
          <w:rFonts w:ascii="Arial" w:eastAsia="Arial" w:hAnsi="Arial" w:cs="Arial"/>
          <w:i/>
          <w:iCs/>
          <w:color w:val="595959" w:themeColor="text1" w:themeTint="A6"/>
        </w:rPr>
        <w:t>lan m</w:t>
      </w:r>
      <w:r w:rsidR="00E06590" w:rsidRPr="00BA66D6">
        <w:rPr>
          <w:rFonts w:ascii="Arial" w:eastAsia="Arial" w:hAnsi="Arial" w:cs="Arial"/>
          <w:i/>
          <w:iCs/>
          <w:color w:val="595959" w:themeColor="text1" w:themeTint="A6"/>
        </w:rPr>
        <w:t xml:space="preserve">ust be submitted </w:t>
      </w:r>
      <w:r w:rsidR="01877B42" w:rsidRPr="00BA66D6">
        <w:rPr>
          <w:rFonts w:ascii="Arial" w:eastAsia="Arial" w:hAnsi="Arial" w:cs="Arial"/>
          <w:i/>
          <w:iCs/>
          <w:color w:val="595959" w:themeColor="text1" w:themeTint="A6"/>
        </w:rPr>
        <w:t xml:space="preserve">prior to Planning approval, </w:t>
      </w:r>
      <w:r w:rsidR="00E06590" w:rsidRPr="00BA66D6">
        <w:rPr>
          <w:rFonts w:ascii="Arial" w:eastAsia="Arial" w:hAnsi="Arial" w:cs="Arial"/>
          <w:i/>
          <w:iCs/>
          <w:color w:val="595959" w:themeColor="text1" w:themeTint="A6"/>
        </w:rPr>
        <w:t>but may</w:t>
      </w:r>
      <w:r w:rsidR="01877B42" w:rsidRPr="00BA66D6">
        <w:rPr>
          <w:rFonts w:ascii="Arial" w:eastAsia="Arial" w:hAnsi="Arial" w:cs="Arial"/>
          <w:i/>
          <w:iCs/>
          <w:color w:val="595959" w:themeColor="text1" w:themeTint="A6"/>
        </w:rPr>
        <w:t xml:space="preserve"> be refined</w:t>
      </w:r>
      <w:r w:rsidR="00E06590" w:rsidRPr="00BA66D6">
        <w:rPr>
          <w:rFonts w:ascii="Arial" w:eastAsia="Arial" w:hAnsi="Arial" w:cs="Arial"/>
          <w:i/>
          <w:iCs/>
          <w:color w:val="595959" w:themeColor="text1" w:themeTint="A6"/>
        </w:rPr>
        <w:t xml:space="preserve"> thereafter</w:t>
      </w:r>
      <w:r w:rsidR="00BA66D6" w:rsidRPr="00BA66D6">
        <w:rPr>
          <w:rFonts w:ascii="Arial" w:eastAsia="Arial" w:hAnsi="Arial" w:cs="Arial"/>
          <w:i/>
          <w:iCs/>
          <w:color w:val="595959" w:themeColor="text1" w:themeTint="A6"/>
        </w:rPr>
        <w:t>,</w:t>
      </w:r>
      <w:r w:rsidR="00E06590" w:rsidRPr="00BA66D6">
        <w:rPr>
          <w:rFonts w:ascii="Arial" w:eastAsia="Arial" w:hAnsi="Arial" w:cs="Arial"/>
          <w:i/>
          <w:iCs/>
          <w:color w:val="595959" w:themeColor="text1" w:themeTint="A6"/>
        </w:rPr>
        <w:t xml:space="preserve"> and is</w:t>
      </w:r>
      <w:r w:rsidR="01877B42" w:rsidRPr="00BA66D6">
        <w:rPr>
          <w:rFonts w:ascii="Arial" w:eastAsia="Arial" w:hAnsi="Arial" w:cs="Arial"/>
          <w:i/>
          <w:iCs/>
          <w:color w:val="595959" w:themeColor="text1" w:themeTint="A6"/>
        </w:rPr>
        <w:t xml:space="preserve"> and codified in the Inclusionary Housing Agreement.</w:t>
      </w:r>
      <w:r w:rsidR="0DF51A08" w:rsidRPr="00BA66D6">
        <w:rPr>
          <w:rFonts w:ascii="Arial" w:eastAsia="Arial" w:hAnsi="Arial" w:cs="Arial"/>
          <w:i/>
          <w:iCs/>
          <w:color w:val="595959" w:themeColor="text1" w:themeTint="A6"/>
        </w:rPr>
        <w:t xml:space="preserve"> The below plan must be approved by the Housing Division prior to the Planning Commission hearing.</w:t>
      </w:r>
      <w:r w:rsidR="01877B42" w:rsidRPr="00BA66D6">
        <w:rPr>
          <w:rFonts w:ascii="Arial" w:eastAsia="Arial" w:hAnsi="Arial" w:cs="Arial"/>
          <w:i/>
          <w:iCs/>
          <w:color w:val="595959" w:themeColor="text1" w:themeTint="A6"/>
        </w:rPr>
        <w:t xml:space="preserve"> The below template may be used to </w:t>
      </w:r>
      <w:r w:rsidR="0206ABDA" w:rsidRPr="00BA66D6">
        <w:rPr>
          <w:rFonts w:ascii="Arial" w:eastAsia="Arial" w:hAnsi="Arial" w:cs="Arial"/>
          <w:i/>
          <w:iCs/>
          <w:color w:val="595959" w:themeColor="text1" w:themeTint="A6"/>
        </w:rPr>
        <w:t>draft the plan.</w:t>
      </w:r>
    </w:p>
    <w:p w14:paraId="7F4A240A" w14:textId="1AED924C" w:rsidR="698631A0" w:rsidRPr="00BA66D6" w:rsidRDefault="698631A0" w:rsidP="4C2B5F89">
      <w:pPr>
        <w:rPr>
          <w:rFonts w:ascii="Arial" w:eastAsia="Arial" w:hAnsi="Arial" w:cs="Arial"/>
          <w:i/>
          <w:iCs/>
          <w:color w:val="595959" w:themeColor="text1" w:themeTint="A6"/>
        </w:rPr>
      </w:pPr>
      <w:r w:rsidRPr="00BA66D6">
        <w:rPr>
          <w:rFonts w:ascii="Arial" w:eastAsia="Arial" w:hAnsi="Arial" w:cs="Arial"/>
          <w:i/>
          <w:iCs/>
          <w:color w:val="595959" w:themeColor="text1" w:themeTint="A6"/>
        </w:rPr>
        <w:t>Please address the following in the plan below</w:t>
      </w:r>
      <w:r w:rsidR="1C303AF6" w:rsidRPr="00BA66D6">
        <w:rPr>
          <w:rFonts w:ascii="Arial" w:eastAsia="Arial" w:hAnsi="Arial" w:cs="Arial"/>
          <w:i/>
          <w:iCs/>
          <w:color w:val="595959" w:themeColor="text1" w:themeTint="A6"/>
        </w:rPr>
        <w:t>:</w:t>
      </w:r>
    </w:p>
    <w:p w14:paraId="2712268F" w14:textId="77777777" w:rsidR="00BA66D6" w:rsidRPr="00BA66D6" w:rsidRDefault="00BA66D6" w:rsidP="4C2B5F89">
      <w:pPr>
        <w:rPr>
          <w:rFonts w:ascii="Arial" w:eastAsia="Arial" w:hAnsi="Arial" w:cs="Arial"/>
          <w:i/>
          <w:iCs/>
          <w:color w:val="595959" w:themeColor="text1" w:themeTint="A6"/>
        </w:rPr>
      </w:pPr>
    </w:p>
    <w:p w14:paraId="0B26ACC1" w14:textId="31784DA4" w:rsidR="1C303AF6" w:rsidRPr="00BA66D6" w:rsidRDefault="1C303AF6" w:rsidP="4C2B5F89">
      <w:pPr>
        <w:pStyle w:val="ListParagraph"/>
        <w:numPr>
          <w:ilvl w:val="0"/>
          <w:numId w:val="1"/>
        </w:numPr>
        <w:rPr>
          <w:rFonts w:ascii="Arial" w:eastAsia="Arial" w:hAnsi="Arial" w:cs="Arial"/>
          <w:i/>
          <w:iCs/>
          <w:color w:val="595959" w:themeColor="text1" w:themeTint="A6"/>
          <w:sz w:val="24"/>
          <w:szCs w:val="24"/>
        </w:rPr>
      </w:pPr>
      <w:r w:rsidRPr="00BA66D6">
        <w:rPr>
          <w:rFonts w:ascii="Arial" w:eastAsia="Arial" w:hAnsi="Arial" w:cs="Arial"/>
          <w:i/>
          <w:iCs/>
          <w:color w:val="595959" w:themeColor="text1" w:themeTint="A6"/>
          <w:sz w:val="24"/>
          <w:szCs w:val="24"/>
        </w:rPr>
        <w:t>Anticipated timeline for the sale of both market</w:t>
      </w:r>
      <w:r w:rsidR="42C02C9F" w:rsidRPr="00BA66D6">
        <w:rPr>
          <w:rFonts w:ascii="Arial" w:eastAsia="Arial" w:hAnsi="Arial" w:cs="Arial"/>
          <w:i/>
          <w:iCs/>
          <w:color w:val="595959" w:themeColor="text1" w:themeTint="A6"/>
          <w:sz w:val="24"/>
          <w:szCs w:val="24"/>
        </w:rPr>
        <w:t>-</w:t>
      </w:r>
      <w:r w:rsidRPr="00BA66D6">
        <w:rPr>
          <w:rFonts w:ascii="Arial" w:eastAsia="Arial" w:hAnsi="Arial" w:cs="Arial"/>
          <w:i/>
          <w:iCs/>
          <w:color w:val="595959" w:themeColor="text1" w:themeTint="A6"/>
          <w:sz w:val="24"/>
          <w:szCs w:val="24"/>
        </w:rPr>
        <w:t xml:space="preserve">rate and inclusionary units, </w:t>
      </w:r>
      <w:r w:rsidR="6C5774BB" w:rsidRPr="00BA66D6">
        <w:rPr>
          <w:rFonts w:ascii="Arial" w:eastAsia="Arial" w:hAnsi="Arial" w:cs="Arial"/>
          <w:i/>
          <w:iCs/>
          <w:color w:val="595959" w:themeColor="text1" w:themeTint="A6"/>
          <w:sz w:val="24"/>
          <w:szCs w:val="24"/>
        </w:rPr>
        <w:t>indicating</w:t>
      </w:r>
      <w:r w:rsidRPr="00BA66D6">
        <w:rPr>
          <w:rFonts w:ascii="Arial" w:eastAsia="Arial" w:hAnsi="Arial" w:cs="Arial"/>
          <w:i/>
          <w:iCs/>
          <w:color w:val="595959" w:themeColor="text1" w:themeTint="A6"/>
          <w:sz w:val="24"/>
          <w:szCs w:val="24"/>
        </w:rPr>
        <w:t xml:space="preserve"> concurrent marketing and sale</w:t>
      </w:r>
      <w:r w:rsidR="7EBCCEED" w:rsidRPr="00BA66D6">
        <w:rPr>
          <w:rFonts w:ascii="Arial" w:eastAsia="Arial" w:hAnsi="Arial" w:cs="Arial"/>
          <w:i/>
          <w:iCs/>
          <w:color w:val="595959" w:themeColor="text1" w:themeTint="A6"/>
          <w:sz w:val="24"/>
          <w:szCs w:val="24"/>
        </w:rPr>
        <w:t xml:space="preserve"> of both types of units</w:t>
      </w:r>
    </w:p>
    <w:p w14:paraId="79636852" w14:textId="3EED1493" w:rsidR="00B4557D" w:rsidRPr="00BA66D6" w:rsidRDefault="1C303AF6" w:rsidP="00B97808">
      <w:pPr>
        <w:pStyle w:val="ListParagraph"/>
        <w:numPr>
          <w:ilvl w:val="0"/>
          <w:numId w:val="1"/>
        </w:numPr>
        <w:rPr>
          <w:rFonts w:ascii="Arial" w:eastAsia="Arial" w:hAnsi="Arial" w:cs="Arial"/>
          <w:i/>
          <w:iCs/>
          <w:color w:val="595959" w:themeColor="text1" w:themeTint="A6"/>
          <w:sz w:val="24"/>
          <w:szCs w:val="24"/>
        </w:rPr>
      </w:pPr>
      <w:r w:rsidRPr="00BA66D6">
        <w:rPr>
          <w:rFonts w:ascii="Arial" w:eastAsia="Arial" w:hAnsi="Arial" w:cs="Arial"/>
          <w:i/>
          <w:iCs/>
          <w:color w:val="595959" w:themeColor="text1" w:themeTint="A6"/>
          <w:sz w:val="24"/>
          <w:szCs w:val="24"/>
        </w:rPr>
        <w:t>Description of how the Inclusionary Units will be marketed to the public in a nondiscriminatory and equitable manner</w:t>
      </w:r>
    </w:p>
    <w:p w14:paraId="7F3A3D22" w14:textId="2CBB4D0C" w:rsidR="1C303AF6" w:rsidRPr="00BA66D6" w:rsidRDefault="1C303AF6" w:rsidP="4C2B5F89">
      <w:pPr>
        <w:pStyle w:val="ListParagraph"/>
        <w:numPr>
          <w:ilvl w:val="0"/>
          <w:numId w:val="1"/>
        </w:numPr>
        <w:rPr>
          <w:rFonts w:ascii="Arial" w:eastAsia="Arial" w:hAnsi="Arial" w:cs="Arial"/>
          <w:i/>
          <w:iCs/>
          <w:color w:val="595959" w:themeColor="text1" w:themeTint="A6"/>
          <w:sz w:val="24"/>
          <w:szCs w:val="24"/>
        </w:rPr>
      </w:pPr>
      <w:r w:rsidRPr="00BA66D6">
        <w:rPr>
          <w:rFonts w:ascii="Arial" w:eastAsia="Arial" w:hAnsi="Arial" w:cs="Arial"/>
          <w:i/>
          <w:iCs/>
          <w:color w:val="595959" w:themeColor="text1" w:themeTint="A6"/>
          <w:sz w:val="24"/>
          <w:szCs w:val="24"/>
        </w:rPr>
        <w:t>Acknowledgement of City of East Palo Alto Local Preference Policy, which will apply to the Inclusionary Units</w:t>
      </w:r>
    </w:p>
    <w:p w14:paraId="546E37E7" w14:textId="189F8E2B" w:rsidR="003D241B" w:rsidRPr="00BA66D6" w:rsidRDefault="003D241B" w:rsidP="00BA66D6">
      <w:pPr>
        <w:rPr>
          <w:rFonts w:ascii="Arial" w:eastAsia="Arial" w:hAnsi="Arial" w:cs="Arial"/>
          <w:i/>
          <w:iCs/>
          <w:color w:val="595959" w:themeColor="text1" w:themeTint="A6"/>
        </w:rPr>
      </w:pPr>
      <w:r w:rsidRPr="00BA66D6">
        <w:rPr>
          <w:rFonts w:ascii="Arial" w:eastAsia="Arial" w:hAnsi="Arial" w:cs="Arial"/>
          <w:i/>
          <w:iCs/>
          <w:color w:val="595959" w:themeColor="text1" w:themeTint="A6"/>
        </w:rPr>
        <w:t xml:space="preserve">The marketing of all units should be concurrent between market rate and Inclusionary Units. Final inspections or certificates of occupancy (including temporary certificates when there are multiple phases or </w:t>
      </w:r>
      <w:r w:rsidR="00BA66D6" w:rsidRPr="00BA66D6">
        <w:rPr>
          <w:rFonts w:ascii="Arial" w:eastAsia="Arial" w:hAnsi="Arial" w:cs="Arial"/>
          <w:i/>
          <w:iCs/>
          <w:color w:val="595959" w:themeColor="text1" w:themeTint="A6"/>
        </w:rPr>
        <w:t>b</w:t>
      </w:r>
      <w:r w:rsidRPr="00BA66D6">
        <w:rPr>
          <w:rFonts w:ascii="Arial" w:eastAsia="Arial" w:hAnsi="Arial" w:cs="Arial"/>
          <w:i/>
          <w:iCs/>
          <w:color w:val="595959" w:themeColor="text1" w:themeTint="A6"/>
        </w:rPr>
        <w:t xml:space="preserve">uildings) </w:t>
      </w:r>
      <w:r w:rsidR="00BA66D6" w:rsidRPr="00BA66D6">
        <w:rPr>
          <w:rFonts w:ascii="Arial" w:eastAsia="Arial" w:hAnsi="Arial" w:cs="Arial"/>
          <w:i/>
          <w:iCs/>
          <w:color w:val="595959" w:themeColor="text1" w:themeTint="A6"/>
        </w:rPr>
        <w:t>will</w:t>
      </w:r>
      <w:r w:rsidRPr="00BA66D6">
        <w:rPr>
          <w:rFonts w:ascii="Arial" w:eastAsia="Arial" w:hAnsi="Arial" w:cs="Arial"/>
          <w:i/>
          <w:iCs/>
          <w:color w:val="595959" w:themeColor="text1" w:themeTint="A6"/>
        </w:rPr>
        <w:t xml:space="preserve"> not be approved for more than 50% of the market-rate units until final inspections or certificates of occupancy have been issued for all (100%) of the Inclusionary Units (EPA Municipal Code 18.37.070).</w:t>
      </w:r>
    </w:p>
    <w:p w14:paraId="63D09843" w14:textId="77777777" w:rsidR="003D241B" w:rsidRDefault="003D241B" w:rsidP="4C2B5F89">
      <w:pPr>
        <w:rPr>
          <w:rFonts w:ascii="Arial" w:eastAsia="Arial" w:hAnsi="Arial" w:cs="Arial"/>
          <w:b/>
          <w:bCs/>
          <w:u w:val="single"/>
        </w:rPr>
      </w:pPr>
    </w:p>
    <w:p w14:paraId="4A495966" w14:textId="59D53691" w:rsidR="069DF949" w:rsidRDefault="069DF949" w:rsidP="4C2B5F89">
      <w:pPr>
        <w:rPr>
          <w:rFonts w:ascii="Arial" w:eastAsia="Arial" w:hAnsi="Arial" w:cs="Arial"/>
          <w:b/>
          <w:bCs/>
        </w:rPr>
      </w:pPr>
      <w:r w:rsidRPr="00C52233">
        <w:rPr>
          <w:rFonts w:ascii="Arial" w:eastAsia="Arial" w:hAnsi="Arial" w:cs="Arial"/>
          <w:b/>
          <w:bCs/>
          <w:u w:val="single"/>
        </w:rPr>
        <w:t>Project Information</w:t>
      </w:r>
      <w:r w:rsidRPr="00C52233">
        <w:rPr>
          <w:rFonts w:ascii="Arial" w:eastAsia="Arial" w:hAnsi="Arial" w:cs="Arial"/>
          <w:b/>
          <w:bCs/>
        </w:rPr>
        <w:t>:</w:t>
      </w:r>
    </w:p>
    <w:p w14:paraId="639B4000" w14:textId="77777777" w:rsidR="00BA66D6" w:rsidRPr="00C52233" w:rsidRDefault="00BA66D6" w:rsidP="4C2B5F89">
      <w:pPr>
        <w:rPr>
          <w:rFonts w:ascii="Arial" w:eastAsia="Arial" w:hAnsi="Arial" w:cs="Arial"/>
          <w:b/>
          <w:bCs/>
        </w:rPr>
      </w:pPr>
    </w:p>
    <w:p w14:paraId="1DCDED14" w14:textId="29F4D6D5" w:rsidR="069DF949" w:rsidRPr="00C52233" w:rsidRDefault="001741D0" w:rsidP="4C2B5F89">
      <w:pPr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Address:</w:t>
      </w:r>
    </w:p>
    <w:p w14:paraId="683137F1" w14:textId="12F6BAE7" w:rsidR="069DF949" w:rsidRPr="00802CFA" w:rsidRDefault="069DF949" w:rsidP="4C2B5F89">
      <w:pPr>
        <w:rPr>
          <w:rFonts w:ascii="Arial" w:eastAsia="Arial" w:hAnsi="Arial" w:cs="Arial"/>
          <w:i/>
          <w:iCs/>
        </w:rPr>
      </w:pPr>
      <w:r w:rsidRPr="00802CFA">
        <w:rPr>
          <w:rFonts w:ascii="Arial" w:eastAsia="Arial" w:hAnsi="Arial" w:cs="Arial"/>
          <w:i/>
          <w:iCs/>
        </w:rPr>
        <w:t>APN</w:t>
      </w:r>
      <w:r w:rsidR="00802CFA" w:rsidRPr="00802CFA">
        <w:rPr>
          <w:rFonts w:ascii="Arial" w:eastAsia="Arial" w:hAnsi="Arial" w:cs="Arial"/>
          <w:i/>
          <w:iCs/>
        </w:rPr>
        <w:t xml:space="preserve">: </w:t>
      </w:r>
    </w:p>
    <w:p w14:paraId="0E4BF904" w14:textId="69ED235B" w:rsidR="4C2B5F89" w:rsidRPr="00802CFA" w:rsidRDefault="069DF949" w:rsidP="4C2B5F89">
      <w:pPr>
        <w:rPr>
          <w:rFonts w:ascii="Arial" w:eastAsia="Arial" w:hAnsi="Arial" w:cs="Arial"/>
          <w:i/>
          <w:iCs/>
          <w:lang w:val="fr-FR"/>
        </w:rPr>
      </w:pPr>
      <w:proofErr w:type="spellStart"/>
      <w:r w:rsidRPr="00802CFA">
        <w:rPr>
          <w:rFonts w:ascii="Arial" w:eastAsia="Arial" w:hAnsi="Arial" w:cs="Arial"/>
          <w:i/>
          <w:iCs/>
          <w:lang w:val="fr-FR"/>
        </w:rPr>
        <w:t>Census</w:t>
      </w:r>
      <w:proofErr w:type="spellEnd"/>
      <w:r w:rsidRPr="00802CFA">
        <w:rPr>
          <w:rFonts w:ascii="Arial" w:eastAsia="Arial" w:hAnsi="Arial" w:cs="Arial"/>
          <w:i/>
          <w:iCs/>
          <w:lang w:val="fr-FR"/>
        </w:rPr>
        <w:t xml:space="preserve"> Tract</w:t>
      </w:r>
      <w:r w:rsidR="00BA66D6">
        <w:rPr>
          <w:rFonts w:ascii="Arial" w:eastAsia="Arial" w:hAnsi="Arial" w:cs="Arial"/>
          <w:i/>
          <w:iCs/>
          <w:lang w:val="fr-FR"/>
        </w:rPr>
        <w:t>:</w:t>
      </w:r>
    </w:p>
    <w:p w14:paraId="24FEA55F" w14:textId="77777777" w:rsidR="005B6C02" w:rsidRDefault="005B6C02" w:rsidP="4C2B5F89">
      <w:pPr>
        <w:rPr>
          <w:rFonts w:ascii="Arial" w:eastAsia="Arial" w:hAnsi="Arial" w:cs="Arial"/>
          <w:b/>
          <w:bCs/>
          <w:u w:val="single"/>
          <w:lang w:val="fr-FR"/>
        </w:rPr>
      </w:pPr>
    </w:p>
    <w:p w14:paraId="55AA176D" w14:textId="4CA304DE" w:rsidR="069DF949" w:rsidRPr="00BA66D6" w:rsidRDefault="069DF949" w:rsidP="4C2B5F89">
      <w:pPr>
        <w:rPr>
          <w:rFonts w:ascii="Arial" w:eastAsia="Arial" w:hAnsi="Arial" w:cs="Arial"/>
          <w:b/>
          <w:bCs/>
          <w:lang w:val="fr-FR"/>
        </w:rPr>
      </w:pPr>
      <w:proofErr w:type="spellStart"/>
      <w:r w:rsidRPr="00BA66D6">
        <w:rPr>
          <w:rFonts w:ascii="Arial" w:eastAsia="Arial" w:hAnsi="Arial" w:cs="Arial"/>
          <w:b/>
          <w:bCs/>
          <w:lang w:val="fr-FR"/>
        </w:rPr>
        <w:t>Applicant</w:t>
      </w:r>
      <w:proofErr w:type="spellEnd"/>
      <w:r w:rsidRPr="00BA66D6">
        <w:rPr>
          <w:rFonts w:ascii="Arial" w:eastAsia="Arial" w:hAnsi="Arial" w:cs="Arial"/>
          <w:b/>
          <w:bCs/>
          <w:lang w:val="fr-FR"/>
        </w:rPr>
        <w:t xml:space="preserve"> </w:t>
      </w:r>
      <w:proofErr w:type="gramStart"/>
      <w:r w:rsidRPr="00BA66D6">
        <w:rPr>
          <w:rFonts w:ascii="Arial" w:eastAsia="Arial" w:hAnsi="Arial" w:cs="Arial"/>
          <w:b/>
          <w:bCs/>
          <w:lang w:val="fr-FR"/>
        </w:rPr>
        <w:t>Information:</w:t>
      </w:r>
      <w:proofErr w:type="gramEnd"/>
      <w:r w:rsidRPr="00BA66D6">
        <w:rPr>
          <w:rFonts w:ascii="Arial" w:eastAsia="Arial" w:hAnsi="Arial" w:cs="Arial"/>
          <w:b/>
          <w:bCs/>
          <w:lang w:val="fr-FR"/>
        </w:rPr>
        <w:t xml:space="preserve"> </w:t>
      </w:r>
    </w:p>
    <w:p w14:paraId="1D6F1678" w14:textId="77777777" w:rsidR="005B6C02" w:rsidRPr="00BA66D6" w:rsidRDefault="005B6C02" w:rsidP="4C2B5F89">
      <w:pPr>
        <w:rPr>
          <w:rFonts w:ascii="Arial" w:eastAsia="Arial" w:hAnsi="Arial" w:cs="Arial"/>
          <w:b/>
          <w:bCs/>
        </w:rPr>
      </w:pPr>
    </w:p>
    <w:p w14:paraId="2F080B70" w14:textId="581AF67E" w:rsidR="00DB789A" w:rsidRPr="00BA66D6" w:rsidRDefault="00073845" w:rsidP="4C2B5F89">
      <w:pPr>
        <w:rPr>
          <w:rFonts w:ascii="Arial" w:eastAsia="Arial" w:hAnsi="Arial" w:cs="Arial"/>
          <w:b/>
          <w:bCs/>
        </w:rPr>
      </w:pPr>
      <w:r w:rsidRPr="00BA66D6">
        <w:rPr>
          <w:rFonts w:ascii="Arial" w:eastAsia="Arial" w:hAnsi="Arial" w:cs="Arial"/>
          <w:b/>
          <w:bCs/>
        </w:rPr>
        <w:t>Entity Responsible for Marketing:</w:t>
      </w:r>
    </w:p>
    <w:p w14:paraId="0D8E32BD" w14:textId="77777777" w:rsidR="005B6C02" w:rsidRPr="00BA66D6" w:rsidRDefault="005B6C02" w:rsidP="4C2B5F89">
      <w:pPr>
        <w:rPr>
          <w:rFonts w:ascii="Arial" w:eastAsia="Arial" w:hAnsi="Arial" w:cs="Arial"/>
          <w:b/>
          <w:bCs/>
        </w:rPr>
      </w:pPr>
    </w:p>
    <w:p w14:paraId="7BD7EE88" w14:textId="49BDB323" w:rsidR="00D11949" w:rsidRPr="00BA66D6" w:rsidRDefault="00D11949" w:rsidP="4C2B5F89">
      <w:pPr>
        <w:rPr>
          <w:rFonts w:ascii="Arial" w:eastAsia="Arial" w:hAnsi="Arial" w:cs="Arial"/>
          <w:b/>
          <w:bCs/>
        </w:rPr>
      </w:pPr>
      <w:r w:rsidRPr="00BA66D6">
        <w:rPr>
          <w:rFonts w:ascii="Arial" w:eastAsia="Arial" w:hAnsi="Arial" w:cs="Arial"/>
          <w:b/>
          <w:bCs/>
        </w:rPr>
        <w:t>Identify Staff Member Responsible for Marketing:</w:t>
      </w:r>
    </w:p>
    <w:p w14:paraId="7F130D5F" w14:textId="77777777" w:rsidR="005B6C02" w:rsidRPr="00BA66D6" w:rsidRDefault="005B6C02" w:rsidP="4C2B5F89">
      <w:pPr>
        <w:rPr>
          <w:rFonts w:ascii="Arial" w:eastAsia="Arial" w:hAnsi="Arial" w:cs="Arial"/>
          <w:b/>
          <w:bCs/>
        </w:rPr>
      </w:pPr>
    </w:p>
    <w:p w14:paraId="2645DF57" w14:textId="260AFAD3" w:rsidR="00073845" w:rsidRPr="00BA66D6" w:rsidRDefault="00605667" w:rsidP="4C2B5F89">
      <w:pPr>
        <w:rPr>
          <w:rFonts w:ascii="Arial" w:eastAsia="Arial" w:hAnsi="Arial" w:cs="Arial"/>
          <w:b/>
          <w:bCs/>
        </w:rPr>
      </w:pPr>
      <w:r w:rsidRPr="00BA66D6">
        <w:rPr>
          <w:rFonts w:ascii="Arial" w:eastAsia="Arial" w:hAnsi="Arial" w:cs="Arial"/>
          <w:b/>
          <w:bCs/>
        </w:rPr>
        <w:t>Target Date of Initial Occupancy</w:t>
      </w:r>
      <w:r w:rsidR="00943951" w:rsidRPr="00BA66D6">
        <w:rPr>
          <w:rFonts w:ascii="Arial" w:eastAsia="Arial" w:hAnsi="Arial" w:cs="Arial"/>
          <w:b/>
          <w:bCs/>
        </w:rPr>
        <w:t xml:space="preserve"> for all units</w:t>
      </w:r>
      <w:r w:rsidRPr="00BA66D6">
        <w:rPr>
          <w:rFonts w:ascii="Arial" w:eastAsia="Arial" w:hAnsi="Arial" w:cs="Arial"/>
          <w:b/>
          <w:bCs/>
        </w:rPr>
        <w:t>:</w:t>
      </w:r>
    </w:p>
    <w:p w14:paraId="09A59218" w14:textId="77777777" w:rsidR="005B6C02" w:rsidRPr="00BA66D6" w:rsidRDefault="005B6C02" w:rsidP="4C2B5F89">
      <w:pPr>
        <w:rPr>
          <w:rFonts w:ascii="Arial" w:eastAsia="Arial" w:hAnsi="Arial" w:cs="Arial"/>
          <w:b/>
          <w:bCs/>
        </w:rPr>
      </w:pPr>
    </w:p>
    <w:p w14:paraId="484155B2" w14:textId="18572604" w:rsidR="00F66744" w:rsidRPr="00BA66D6" w:rsidRDefault="00D11949" w:rsidP="4C2B5F89">
      <w:pPr>
        <w:rPr>
          <w:rFonts w:ascii="Arial" w:eastAsia="Arial" w:hAnsi="Arial" w:cs="Arial"/>
          <w:b/>
          <w:bCs/>
        </w:rPr>
      </w:pPr>
      <w:r w:rsidRPr="00BA66D6">
        <w:rPr>
          <w:rFonts w:ascii="Arial" w:eastAsia="Arial" w:hAnsi="Arial" w:cs="Arial"/>
          <w:b/>
          <w:bCs/>
        </w:rPr>
        <w:t xml:space="preserve">Estimated </w:t>
      </w:r>
      <w:r w:rsidR="00F66744" w:rsidRPr="00BA66D6">
        <w:rPr>
          <w:rFonts w:ascii="Arial" w:eastAsia="Arial" w:hAnsi="Arial" w:cs="Arial"/>
          <w:b/>
          <w:bCs/>
        </w:rPr>
        <w:t>Advertising Start Date</w:t>
      </w:r>
      <w:r w:rsidR="00943951" w:rsidRPr="00BA66D6">
        <w:rPr>
          <w:rFonts w:ascii="Arial" w:eastAsia="Arial" w:hAnsi="Arial" w:cs="Arial"/>
          <w:b/>
          <w:bCs/>
        </w:rPr>
        <w:t xml:space="preserve"> for all units</w:t>
      </w:r>
      <w:r w:rsidR="00F66744" w:rsidRPr="00BA66D6">
        <w:rPr>
          <w:rFonts w:ascii="Arial" w:eastAsia="Arial" w:hAnsi="Arial" w:cs="Arial"/>
          <w:b/>
          <w:bCs/>
        </w:rPr>
        <w:t>:</w:t>
      </w:r>
    </w:p>
    <w:p w14:paraId="2994A09B" w14:textId="77777777" w:rsidR="00802CFA" w:rsidRPr="00BA66D6" w:rsidRDefault="00802CFA" w:rsidP="4C2B5F89">
      <w:pPr>
        <w:rPr>
          <w:rFonts w:ascii="Arial" w:eastAsia="Arial" w:hAnsi="Arial" w:cs="Arial"/>
          <w:b/>
          <w:bCs/>
          <w:color w:val="FF0000"/>
        </w:rPr>
      </w:pPr>
    </w:p>
    <w:p w14:paraId="1009F9B6" w14:textId="2C5A30E1" w:rsidR="00C02ECA" w:rsidRPr="00BA66D6" w:rsidRDefault="00332AC7" w:rsidP="00C02ECA">
      <w:pPr>
        <w:rPr>
          <w:rFonts w:ascii="Arial" w:eastAsia="Arial" w:hAnsi="Arial" w:cs="Arial"/>
          <w:b/>
          <w:bCs/>
        </w:rPr>
      </w:pPr>
      <w:r w:rsidRPr="00BA66D6">
        <w:rPr>
          <w:rFonts w:ascii="Arial" w:eastAsia="Arial" w:hAnsi="Arial" w:cs="Arial"/>
          <w:b/>
          <w:bCs/>
        </w:rPr>
        <w:t>Demographics of Target Area</w:t>
      </w:r>
      <w:r w:rsidR="001C5D7C" w:rsidRPr="00BA66D6">
        <w:rPr>
          <w:rFonts w:ascii="Arial" w:eastAsia="Arial" w:hAnsi="Arial" w:cs="Arial"/>
          <w:b/>
          <w:bCs/>
        </w:rPr>
        <w:t>:</w:t>
      </w:r>
    </w:p>
    <w:p w14:paraId="1B11F4EB" w14:textId="77777777" w:rsidR="00BA66D6" w:rsidRDefault="00BA66D6" w:rsidP="00C02ECA">
      <w:pPr>
        <w:rPr>
          <w:rFonts w:ascii="Arial" w:eastAsia="Arial" w:hAnsi="Arial" w:cs="Arial"/>
          <w:b/>
          <w:bCs/>
          <w:u w:val="single"/>
        </w:rPr>
      </w:pPr>
    </w:p>
    <w:p w14:paraId="33589E91" w14:textId="77777777" w:rsidR="00C15D49" w:rsidRPr="00BA66D6" w:rsidRDefault="00C15D49" w:rsidP="00C15D49">
      <w:pPr>
        <w:rPr>
          <w:color w:val="595959" w:themeColor="text1" w:themeTint="A6"/>
        </w:rPr>
      </w:pPr>
      <w:r w:rsidRPr="00BA66D6">
        <w:rPr>
          <w:rFonts w:ascii="Arial" w:eastAsia="Arial" w:hAnsi="Arial" w:cs="Arial"/>
          <w:bCs/>
          <w:i/>
          <w:iCs/>
          <w:color w:val="595959" w:themeColor="text1" w:themeTint="A6"/>
        </w:rPr>
        <w:t xml:space="preserve">The objective of determining demographics is to ensure affirmative marketing of the units, </w:t>
      </w:r>
      <w:proofErr w:type="gramStart"/>
      <w:r w:rsidRPr="00BA66D6">
        <w:rPr>
          <w:rFonts w:ascii="Arial" w:eastAsia="Arial" w:hAnsi="Arial" w:cs="Arial"/>
          <w:bCs/>
          <w:i/>
          <w:iCs/>
          <w:color w:val="595959" w:themeColor="text1" w:themeTint="A6"/>
        </w:rPr>
        <w:t>i.e.</w:t>
      </w:r>
      <w:proofErr w:type="gramEnd"/>
      <w:r w:rsidRPr="00BA66D6">
        <w:rPr>
          <w:rFonts w:ascii="Arial" w:eastAsia="Arial" w:hAnsi="Arial" w:cs="Arial"/>
          <w:bCs/>
          <w:i/>
          <w:iCs/>
          <w:color w:val="595959" w:themeColor="text1" w:themeTint="A6"/>
        </w:rPr>
        <w:t xml:space="preserve"> marketing that reaches those least likely to apply, and that all units in the development are marketed in a fair and equitable manner.</w:t>
      </w:r>
    </w:p>
    <w:p w14:paraId="5EEC381B" w14:textId="77777777" w:rsidR="00C15D49" w:rsidRPr="00C02ECA" w:rsidRDefault="00C15D49" w:rsidP="00C02ECA">
      <w:pPr>
        <w:rPr>
          <w:rFonts w:ascii="Arial" w:eastAsia="Arial" w:hAnsi="Arial" w:cs="Arial"/>
          <w:bCs/>
          <w:i/>
          <w:iCs/>
        </w:rPr>
      </w:pPr>
    </w:p>
    <w:p w14:paraId="19DDA4A8" w14:textId="77777777" w:rsidR="005B6C02" w:rsidRPr="00BA66D6" w:rsidRDefault="005B6C02" w:rsidP="4C2B5F89">
      <w:pPr>
        <w:rPr>
          <w:rFonts w:ascii="Arial" w:eastAsia="Arial" w:hAnsi="Arial" w:cs="Arial"/>
          <w:b/>
          <w:bCs/>
        </w:rPr>
      </w:pPr>
    </w:p>
    <w:p w14:paraId="42D2F6EE" w14:textId="24B7833B" w:rsidR="0076747E" w:rsidRPr="00BA66D6" w:rsidRDefault="0076747E" w:rsidP="4C2B5F89">
      <w:pPr>
        <w:rPr>
          <w:rFonts w:ascii="Arial" w:eastAsia="Arial" w:hAnsi="Arial" w:cs="Arial"/>
          <w:b/>
          <w:bCs/>
        </w:rPr>
      </w:pPr>
      <w:r w:rsidRPr="00BA66D6">
        <w:rPr>
          <w:rFonts w:ascii="Arial" w:eastAsia="Arial" w:hAnsi="Arial" w:cs="Arial"/>
          <w:b/>
          <w:bCs/>
        </w:rPr>
        <w:t>Acknowledgment of Local Preference</w:t>
      </w:r>
      <w:r w:rsidR="001C5D7C" w:rsidRPr="00BA66D6">
        <w:rPr>
          <w:rFonts w:ascii="Arial" w:eastAsia="Arial" w:hAnsi="Arial" w:cs="Arial"/>
          <w:b/>
          <w:bCs/>
        </w:rPr>
        <w:t>:</w:t>
      </w:r>
    </w:p>
    <w:p w14:paraId="2F322D60" w14:textId="77777777" w:rsidR="00BA66D6" w:rsidRPr="002B1AFB" w:rsidRDefault="00BA66D6" w:rsidP="4C2B5F89">
      <w:pPr>
        <w:rPr>
          <w:rFonts w:ascii="Arial" w:eastAsia="Arial" w:hAnsi="Arial" w:cs="Arial"/>
          <w:b/>
          <w:bCs/>
          <w:u w:val="single"/>
        </w:rPr>
      </w:pPr>
    </w:p>
    <w:p w14:paraId="665038F9" w14:textId="2E0C6AEB" w:rsidR="005B6C02" w:rsidRPr="00BA66D6" w:rsidRDefault="00BA66D6" w:rsidP="4C2B5F89">
      <w:pPr>
        <w:rPr>
          <w:rFonts w:ascii="Arial" w:eastAsia="Arial" w:hAnsi="Arial" w:cs="Arial"/>
          <w:b/>
          <w:bCs/>
          <w:color w:val="595959" w:themeColor="text1" w:themeTint="A6"/>
          <w:u w:val="single"/>
        </w:rPr>
      </w:pPr>
      <w:r w:rsidRPr="00BA66D6">
        <w:rPr>
          <w:rFonts w:ascii="Arial" w:eastAsia="Arial" w:hAnsi="Arial" w:cs="Arial"/>
          <w:i/>
          <w:iCs/>
          <w:color w:val="595959" w:themeColor="text1" w:themeTint="A6"/>
        </w:rPr>
        <w:t>Placeholder</w:t>
      </w:r>
      <w:r>
        <w:rPr>
          <w:rFonts w:ascii="Arial" w:eastAsia="Arial" w:hAnsi="Arial" w:cs="Arial"/>
          <w:i/>
          <w:iCs/>
          <w:color w:val="595959" w:themeColor="text1" w:themeTint="A6"/>
        </w:rPr>
        <w:t xml:space="preserve"> language</w:t>
      </w:r>
      <w:r w:rsidRPr="00BA66D6">
        <w:rPr>
          <w:rFonts w:ascii="Arial" w:eastAsia="Arial" w:hAnsi="Arial" w:cs="Arial"/>
          <w:i/>
          <w:iCs/>
          <w:color w:val="595959" w:themeColor="text1" w:themeTint="A6"/>
        </w:rPr>
        <w:t xml:space="preserve">: The </w:t>
      </w:r>
      <w:r w:rsidR="00B37480" w:rsidRPr="00BA66D6">
        <w:rPr>
          <w:rFonts w:ascii="Arial" w:eastAsia="Arial" w:hAnsi="Arial" w:cs="Arial"/>
          <w:i/>
          <w:iCs/>
          <w:color w:val="595959" w:themeColor="text1" w:themeTint="A6"/>
        </w:rPr>
        <w:t>A</w:t>
      </w:r>
      <w:r w:rsidR="00BF6919" w:rsidRPr="00BA66D6">
        <w:rPr>
          <w:rFonts w:ascii="Arial" w:eastAsia="Arial" w:hAnsi="Arial" w:cs="Arial"/>
          <w:i/>
          <w:iCs/>
          <w:color w:val="595959" w:themeColor="text1" w:themeTint="A6"/>
        </w:rPr>
        <w:t>pplicant acknowledges the</w:t>
      </w:r>
      <w:r w:rsidR="00B37480" w:rsidRPr="00BA66D6">
        <w:rPr>
          <w:rFonts w:ascii="Arial" w:eastAsia="Arial" w:hAnsi="Arial" w:cs="Arial"/>
          <w:i/>
          <w:iCs/>
          <w:color w:val="595959" w:themeColor="text1" w:themeTint="A6"/>
        </w:rPr>
        <w:t xml:space="preserve"> City of East Palo Alto</w:t>
      </w:r>
      <w:r w:rsidR="00BF6919" w:rsidRPr="00BA66D6">
        <w:rPr>
          <w:rFonts w:ascii="Arial" w:eastAsia="Arial" w:hAnsi="Arial" w:cs="Arial"/>
          <w:i/>
          <w:iCs/>
          <w:color w:val="595959" w:themeColor="text1" w:themeTint="A6"/>
        </w:rPr>
        <w:t xml:space="preserve"> </w:t>
      </w:r>
      <w:r w:rsidR="00B37480" w:rsidRPr="00BA66D6">
        <w:rPr>
          <w:rFonts w:ascii="Arial" w:eastAsia="Arial" w:hAnsi="Arial" w:cs="Arial"/>
          <w:i/>
          <w:iCs/>
          <w:color w:val="595959" w:themeColor="text1" w:themeTint="A6"/>
        </w:rPr>
        <w:t>L</w:t>
      </w:r>
      <w:r w:rsidR="00BF6919" w:rsidRPr="00BA66D6">
        <w:rPr>
          <w:rFonts w:ascii="Arial" w:eastAsia="Arial" w:hAnsi="Arial" w:cs="Arial"/>
          <w:i/>
          <w:iCs/>
          <w:color w:val="595959" w:themeColor="text1" w:themeTint="A6"/>
        </w:rPr>
        <w:t xml:space="preserve">ocal </w:t>
      </w:r>
      <w:r w:rsidR="00B37480" w:rsidRPr="00BA66D6">
        <w:rPr>
          <w:rFonts w:ascii="Arial" w:eastAsia="Arial" w:hAnsi="Arial" w:cs="Arial"/>
          <w:i/>
          <w:iCs/>
          <w:color w:val="595959" w:themeColor="text1" w:themeTint="A6"/>
        </w:rPr>
        <w:t>P</w:t>
      </w:r>
      <w:r w:rsidR="00BF6919" w:rsidRPr="00BA66D6">
        <w:rPr>
          <w:rFonts w:ascii="Arial" w:eastAsia="Arial" w:hAnsi="Arial" w:cs="Arial"/>
          <w:i/>
          <w:iCs/>
          <w:color w:val="595959" w:themeColor="text1" w:themeTint="A6"/>
        </w:rPr>
        <w:t xml:space="preserve">reference </w:t>
      </w:r>
      <w:r w:rsidR="00B37480" w:rsidRPr="00BA66D6">
        <w:rPr>
          <w:rFonts w:ascii="Arial" w:eastAsia="Arial" w:hAnsi="Arial" w:cs="Arial"/>
          <w:i/>
          <w:iCs/>
          <w:color w:val="595959" w:themeColor="text1" w:themeTint="A6"/>
        </w:rPr>
        <w:t>P</w:t>
      </w:r>
      <w:r w:rsidR="00BF6919" w:rsidRPr="00BA66D6">
        <w:rPr>
          <w:rFonts w:ascii="Arial" w:eastAsia="Arial" w:hAnsi="Arial" w:cs="Arial"/>
          <w:i/>
          <w:iCs/>
          <w:color w:val="595959" w:themeColor="text1" w:themeTint="A6"/>
        </w:rPr>
        <w:t>olicy and commits to comply with it.</w:t>
      </w:r>
    </w:p>
    <w:p w14:paraId="458B07A7" w14:textId="77777777" w:rsidR="005B6C02" w:rsidRDefault="005B6C02" w:rsidP="4C2B5F89">
      <w:pPr>
        <w:rPr>
          <w:rFonts w:ascii="Arial" w:eastAsia="Arial" w:hAnsi="Arial" w:cs="Arial"/>
          <w:b/>
          <w:bCs/>
          <w:u w:val="single"/>
        </w:rPr>
      </w:pPr>
    </w:p>
    <w:p w14:paraId="0C73A30D" w14:textId="77777777" w:rsidR="005B6C02" w:rsidRDefault="005B6C02" w:rsidP="4C2B5F89">
      <w:pPr>
        <w:rPr>
          <w:rFonts w:ascii="Arial" w:eastAsia="Arial" w:hAnsi="Arial" w:cs="Arial"/>
          <w:b/>
          <w:bCs/>
          <w:u w:val="single"/>
        </w:rPr>
      </w:pPr>
    </w:p>
    <w:p w14:paraId="0ABD70CA" w14:textId="27E87EE6" w:rsidR="00227770" w:rsidRPr="00BA66D6" w:rsidRDefault="00227770" w:rsidP="4C2B5F89">
      <w:pPr>
        <w:rPr>
          <w:rFonts w:ascii="Arial" w:eastAsia="Arial" w:hAnsi="Arial" w:cs="Arial"/>
          <w:b/>
          <w:bCs/>
        </w:rPr>
      </w:pPr>
      <w:r w:rsidRPr="00BA66D6">
        <w:rPr>
          <w:rFonts w:ascii="Arial" w:eastAsia="Arial" w:hAnsi="Arial" w:cs="Arial"/>
          <w:b/>
          <w:bCs/>
        </w:rPr>
        <w:t>Descri</w:t>
      </w:r>
      <w:r w:rsidR="00856FE2" w:rsidRPr="00BA66D6">
        <w:rPr>
          <w:rFonts w:ascii="Arial" w:eastAsia="Arial" w:hAnsi="Arial" w:cs="Arial"/>
          <w:b/>
          <w:bCs/>
        </w:rPr>
        <w:t>ption of</w:t>
      </w:r>
      <w:r w:rsidRPr="00BA66D6">
        <w:rPr>
          <w:rFonts w:ascii="Arial" w:eastAsia="Arial" w:hAnsi="Arial" w:cs="Arial"/>
          <w:b/>
          <w:bCs/>
        </w:rPr>
        <w:t xml:space="preserve"> </w:t>
      </w:r>
      <w:r w:rsidR="00856FE2" w:rsidRPr="00BA66D6">
        <w:rPr>
          <w:rFonts w:ascii="Arial" w:eastAsia="Arial" w:hAnsi="Arial" w:cs="Arial"/>
          <w:b/>
          <w:bCs/>
        </w:rPr>
        <w:t>O</w:t>
      </w:r>
      <w:r w:rsidRPr="00BA66D6">
        <w:rPr>
          <w:rFonts w:ascii="Arial" w:eastAsia="Arial" w:hAnsi="Arial" w:cs="Arial"/>
          <w:b/>
          <w:bCs/>
        </w:rPr>
        <w:t xml:space="preserve">utreach and </w:t>
      </w:r>
      <w:r w:rsidR="00856FE2" w:rsidRPr="00BA66D6">
        <w:rPr>
          <w:rFonts w:ascii="Arial" w:eastAsia="Arial" w:hAnsi="Arial" w:cs="Arial"/>
          <w:b/>
          <w:bCs/>
        </w:rPr>
        <w:t>M</w:t>
      </w:r>
      <w:r w:rsidRPr="00BA66D6">
        <w:rPr>
          <w:rFonts w:ascii="Arial" w:eastAsia="Arial" w:hAnsi="Arial" w:cs="Arial"/>
          <w:b/>
          <w:bCs/>
        </w:rPr>
        <w:t xml:space="preserve">arketing </w:t>
      </w:r>
      <w:r w:rsidR="00856FE2" w:rsidRPr="00BA66D6">
        <w:rPr>
          <w:rFonts w:ascii="Arial" w:eastAsia="Arial" w:hAnsi="Arial" w:cs="Arial"/>
          <w:b/>
          <w:bCs/>
        </w:rPr>
        <w:t>A</w:t>
      </w:r>
      <w:r w:rsidRPr="00BA66D6">
        <w:rPr>
          <w:rFonts w:ascii="Arial" w:eastAsia="Arial" w:hAnsi="Arial" w:cs="Arial"/>
          <w:b/>
          <w:bCs/>
        </w:rPr>
        <w:t xml:space="preserve">ctivities to </w:t>
      </w:r>
      <w:r w:rsidR="00856FE2" w:rsidRPr="00BA66D6">
        <w:rPr>
          <w:rFonts w:ascii="Arial" w:eastAsia="Arial" w:hAnsi="Arial" w:cs="Arial"/>
          <w:b/>
          <w:bCs/>
        </w:rPr>
        <w:t>C</w:t>
      </w:r>
      <w:r w:rsidRPr="00BA66D6">
        <w:rPr>
          <w:rFonts w:ascii="Arial" w:eastAsia="Arial" w:hAnsi="Arial" w:cs="Arial"/>
          <w:b/>
          <w:bCs/>
        </w:rPr>
        <w:t>ommunity:</w:t>
      </w:r>
    </w:p>
    <w:p w14:paraId="1D58FEBF" w14:textId="77777777" w:rsidR="00BA66D6" w:rsidRPr="002B1AFB" w:rsidRDefault="00BA66D6" w:rsidP="4C2B5F89">
      <w:pPr>
        <w:rPr>
          <w:rFonts w:ascii="Arial" w:eastAsia="Arial" w:hAnsi="Arial" w:cs="Arial"/>
          <w:b/>
          <w:bCs/>
          <w:u w:val="single"/>
        </w:rPr>
      </w:pPr>
    </w:p>
    <w:p w14:paraId="74CBB95A" w14:textId="701ED37C" w:rsidR="00F60EB0" w:rsidRPr="00BA66D6" w:rsidRDefault="00BA66D6" w:rsidP="00F60EB0">
      <w:pPr>
        <w:rPr>
          <w:rFonts w:ascii="Arial" w:eastAsia="Arial" w:hAnsi="Arial" w:cs="Arial"/>
          <w:color w:val="595959" w:themeColor="text1" w:themeTint="A6"/>
        </w:rPr>
      </w:pPr>
      <w:r>
        <w:rPr>
          <w:rFonts w:ascii="Arial" w:eastAsia="Arial" w:hAnsi="Arial" w:cs="Arial"/>
          <w:i/>
          <w:iCs/>
          <w:color w:val="595959" w:themeColor="text1" w:themeTint="A6"/>
        </w:rPr>
        <w:t>At a minimum, please n</w:t>
      </w:r>
      <w:r w:rsidRPr="00BA66D6">
        <w:rPr>
          <w:rFonts w:ascii="Arial" w:eastAsia="Arial" w:hAnsi="Arial" w:cs="Arial"/>
          <w:i/>
          <w:iCs/>
          <w:color w:val="595959" w:themeColor="text1" w:themeTint="A6"/>
        </w:rPr>
        <w:t xml:space="preserve">ote specific local advertising sources and community groups that may be contacted as part of outreach. Note languages that information will be presented in. </w:t>
      </w:r>
      <w:r w:rsidR="00F60EB0" w:rsidRPr="00BA66D6">
        <w:rPr>
          <w:rFonts w:ascii="Arial" w:eastAsia="Arial" w:hAnsi="Arial" w:cs="Arial"/>
          <w:i/>
          <w:iCs/>
          <w:color w:val="595959" w:themeColor="text1" w:themeTint="A6"/>
        </w:rPr>
        <w:t xml:space="preserve">Please see below acknowledgement of partnership with third-party administrator. </w:t>
      </w:r>
    </w:p>
    <w:p w14:paraId="5D480530" w14:textId="4692A011" w:rsidR="00A85FAC" w:rsidRDefault="00A85FAC" w:rsidP="4C2B5F89">
      <w:pPr>
        <w:rPr>
          <w:rFonts w:ascii="Arial" w:eastAsia="Arial" w:hAnsi="Arial" w:cs="Arial"/>
          <w:iCs/>
        </w:rPr>
      </w:pPr>
    </w:p>
    <w:p w14:paraId="66A7EE42" w14:textId="536C589B" w:rsidR="005B6C02" w:rsidRDefault="005B6C02" w:rsidP="4C2B5F89">
      <w:pPr>
        <w:rPr>
          <w:rFonts w:ascii="Arial" w:eastAsia="Arial" w:hAnsi="Arial" w:cs="Arial"/>
          <w:iCs/>
        </w:rPr>
      </w:pPr>
    </w:p>
    <w:p w14:paraId="0976A58F" w14:textId="7308208B" w:rsidR="005B6C02" w:rsidRPr="00BA66D6" w:rsidRDefault="005B6C02" w:rsidP="005B6C02">
      <w:pPr>
        <w:rPr>
          <w:rFonts w:ascii="Arial" w:eastAsia="Arial" w:hAnsi="Arial" w:cs="Arial"/>
          <w:b/>
          <w:bCs/>
        </w:rPr>
      </w:pPr>
      <w:r w:rsidRPr="00BA66D6">
        <w:rPr>
          <w:rFonts w:ascii="Arial" w:eastAsia="Arial" w:hAnsi="Arial" w:cs="Arial"/>
          <w:b/>
          <w:bCs/>
        </w:rPr>
        <w:t xml:space="preserve">Acknowledgment of Need to Partner </w:t>
      </w:r>
      <w:r w:rsidR="00BA66D6">
        <w:rPr>
          <w:rFonts w:ascii="Arial" w:eastAsia="Arial" w:hAnsi="Arial" w:cs="Arial"/>
          <w:b/>
          <w:bCs/>
        </w:rPr>
        <w:t>wi</w:t>
      </w:r>
      <w:r w:rsidRPr="00BA66D6">
        <w:rPr>
          <w:rFonts w:ascii="Arial" w:eastAsia="Arial" w:hAnsi="Arial" w:cs="Arial"/>
          <w:b/>
          <w:bCs/>
        </w:rPr>
        <w:t>th Housing Department and City Third-Party Administrator</w:t>
      </w:r>
    </w:p>
    <w:p w14:paraId="28FFCA29" w14:textId="77777777" w:rsidR="005B6C02" w:rsidRDefault="005B6C02" w:rsidP="005B6C02">
      <w:pPr>
        <w:rPr>
          <w:rFonts w:ascii="Arial" w:eastAsia="Arial" w:hAnsi="Arial" w:cs="Arial"/>
          <w:b/>
          <w:bCs/>
          <w:u w:val="single"/>
        </w:rPr>
      </w:pPr>
    </w:p>
    <w:p w14:paraId="7DD417D3" w14:textId="4C33B55C" w:rsidR="005B6C02" w:rsidRPr="00BA66D6" w:rsidRDefault="00BA66D6" w:rsidP="005B6C02">
      <w:pPr>
        <w:rPr>
          <w:rFonts w:ascii="Arial" w:eastAsia="Arial" w:hAnsi="Arial" w:cs="Arial"/>
          <w:i/>
          <w:iCs/>
          <w:color w:val="595959" w:themeColor="text1" w:themeTint="A6"/>
        </w:rPr>
      </w:pPr>
      <w:r>
        <w:rPr>
          <w:rFonts w:ascii="Arial" w:eastAsia="Arial" w:hAnsi="Arial" w:cs="Arial"/>
          <w:bCs/>
          <w:i/>
          <w:color w:val="595959" w:themeColor="text1" w:themeTint="A6"/>
        </w:rPr>
        <w:t>Placeholder language:</w:t>
      </w:r>
      <w:r w:rsidR="005B6C02" w:rsidRPr="00BA66D6">
        <w:rPr>
          <w:rFonts w:ascii="Arial" w:eastAsia="Arial" w:hAnsi="Arial" w:cs="Arial"/>
          <w:bCs/>
          <w:i/>
          <w:color w:val="595959" w:themeColor="text1" w:themeTint="A6"/>
        </w:rPr>
        <w:t xml:space="preserve"> </w:t>
      </w:r>
      <w:r w:rsidR="00BB58E4" w:rsidRPr="00BA66D6">
        <w:rPr>
          <w:rFonts w:ascii="Arial" w:eastAsia="Arial" w:hAnsi="Arial" w:cs="Arial"/>
          <w:bCs/>
          <w:i/>
          <w:color w:val="595959" w:themeColor="text1" w:themeTint="A6"/>
        </w:rPr>
        <w:t>A</w:t>
      </w:r>
      <w:r w:rsidR="005B6C02" w:rsidRPr="00BA66D6">
        <w:rPr>
          <w:rFonts w:ascii="Arial" w:eastAsia="Arial" w:hAnsi="Arial" w:cs="Arial"/>
          <w:bCs/>
          <w:i/>
          <w:color w:val="595959" w:themeColor="text1" w:themeTint="A6"/>
        </w:rPr>
        <w:t xml:space="preserve">pplicant acknowledges that </w:t>
      </w:r>
      <w:r w:rsidR="00BB58E4" w:rsidRPr="00BA66D6">
        <w:rPr>
          <w:rFonts w:ascii="Arial" w:eastAsia="Arial" w:hAnsi="Arial" w:cs="Arial"/>
          <w:bCs/>
          <w:i/>
          <w:color w:val="595959" w:themeColor="text1" w:themeTint="A6"/>
        </w:rPr>
        <w:t xml:space="preserve">it is responsible for the marketing of all units </w:t>
      </w:r>
      <w:r w:rsidR="00F1601E" w:rsidRPr="00BA66D6">
        <w:rPr>
          <w:rFonts w:ascii="Arial" w:eastAsia="Arial" w:hAnsi="Arial" w:cs="Arial"/>
          <w:bCs/>
          <w:i/>
          <w:color w:val="595959" w:themeColor="text1" w:themeTint="A6"/>
        </w:rPr>
        <w:t xml:space="preserve">and must follow fair marketing practices </w:t>
      </w:r>
      <w:r w:rsidR="00FF0D78" w:rsidRPr="00BA66D6">
        <w:rPr>
          <w:rFonts w:ascii="Arial" w:eastAsia="Arial" w:hAnsi="Arial" w:cs="Arial"/>
          <w:bCs/>
          <w:i/>
          <w:color w:val="595959" w:themeColor="text1" w:themeTint="A6"/>
        </w:rPr>
        <w:t xml:space="preserve">between the market rate units and the Inclusionary Units. </w:t>
      </w:r>
      <w:r w:rsidR="00BD1234" w:rsidRPr="00BA66D6">
        <w:rPr>
          <w:rFonts w:ascii="Arial" w:eastAsia="Arial" w:hAnsi="Arial" w:cs="Arial"/>
          <w:bCs/>
          <w:i/>
          <w:color w:val="595959" w:themeColor="text1" w:themeTint="A6"/>
        </w:rPr>
        <w:t xml:space="preserve">The Applicant may </w:t>
      </w:r>
      <w:r w:rsidR="005B6C02" w:rsidRPr="00BA66D6">
        <w:rPr>
          <w:rFonts w:ascii="Arial" w:eastAsia="Arial" w:hAnsi="Arial" w:cs="Arial"/>
          <w:bCs/>
          <w:i/>
          <w:color w:val="595959" w:themeColor="text1" w:themeTint="A6"/>
        </w:rPr>
        <w:t xml:space="preserve">market and sell the inclusionary units </w:t>
      </w:r>
      <w:r w:rsidR="005B6C02" w:rsidRPr="00BA66D6">
        <w:rPr>
          <w:rFonts w:ascii="Arial" w:hAnsi="Arial" w:cs="Arial"/>
          <w:i/>
          <w:color w:val="595959" w:themeColor="text1" w:themeTint="A6"/>
          <w:shd w:val="clear" w:color="auto" w:fill="FFFFFF"/>
        </w:rPr>
        <w:t>in partnership with</w:t>
      </w:r>
      <w:r w:rsidR="00D37BBD" w:rsidRPr="00BA66D6">
        <w:rPr>
          <w:rFonts w:ascii="Arial" w:hAnsi="Arial" w:cs="Arial"/>
          <w:i/>
          <w:color w:val="595959" w:themeColor="text1" w:themeTint="A6"/>
          <w:shd w:val="clear" w:color="auto" w:fill="FFFFFF"/>
        </w:rPr>
        <w:t xml:space="preserve"> </w:t>
      </w:r>
      <w:r w:rsidR="005B6C02" w:rsidRPr="00BA66D6">
        <w:rPr>
          <w:rFonts w:ascii="Arial" w:hAnsi="Arial" w:cs="Arial"/>
          <w:i/>
          <w:color w:val="595959" w:themeColor="text1" w:themeTint="A6"/>
          <w:shd w:val="clear" w:color="auto" w:fill="FFFFFF"/>
        </w:rPr>
        <w:t>a third-party administrator</w:t>
      </w:r>
      <w:r w:rsidR="003C78D9" w:rsidRPr="00BA66D6">
        <w:rPr>
          <w:rFonts w:ascii="Arial" w:hAnsi="Arial" w:cs="Arial"/>
          <w:i/>
          <w:color w:val="595959" w:themeColor="text1" w:themeTint="A6"/>
          <w:shd w:val="clear" w:color="auto" w:fill="FFFFFF"/>
        </w:rPr>
        <w:t xml:space="preserve"> </w:t>
      </w:r>
      <w:r w:rsidR="003C78D9" w:rsidRPr="00BA66D6">
        <w:rPr>
          <w:rFonts w:ascii="Arial" w:hAnsi="Arial" w:cs="Arial"/>
          <w:i/>
          <w:iCs/>
          <w:color w:val="595959" w:themeColor="text1" w:themeTint="A6"/>
        </w:rPr>
        <w:t xml:space="preserve">to implement and oversee this part of the Inclusionary program. If the City makes available a program/process that the Applicant can participate in, this will be reflected in the Inclusionary Housing Agreement and codified before Building Permits may be issued. </w:t>
      </w:r>
      <w:r w:rsidR="008512B9" w:rsidRPr="00BA66D6">
        <w:rPr>
          <w:rFonts w:ascii="Arial" w:hAnsi="Arial" w:cs="Arial"/>
          <w:i/>
          <w:iCs/>
          <w:color w:val="595959" w:themeColor="text1" w:themeTint="A6"/>
        </w:rPr>
        <w:t>Ultimately, the Applicant is still responsible for the fair marketing of</w:t>
      </w:r>
      <w:r w:rsidR="005B6C02" w:rsidRPr="00BA66D6">
        <w:rPr>
          <w:rFonts w:ascii="Arial" w:hAnsi="Arial" w:cs="Arial"/>
          <w:i/>
          <w:color w:val="595959" w:themeColor="text1" w:themeTint="A6"/>
          <w:shd w:val="clear" w:color="auto" w:fill="FFFFFF"/>
        </w:rPr>
        <w:t xml:space="preserve"> units </w:t>
      </w:r>
      <w:r w:rsidR="000A6A37" w:rsidRPr="00BA66D6">
        <w:rPr>
          <w:rFonts w:ascii="Arial" w:hAnsi="Arial" w:cs="Arial"/>
          <w:i/>
          <w:color w:val="595959" w:themeColor="text1" w:themeTint="A6"/>
          <w:shd w:val="clear" w:color="auto" w:fill="FFFFFF"/>
        </w:rPr>
        <w:t xml:space="preserve">and through </w:t>
      </w:r>
      <w:r w:rsidR="00156002" w:rsidRPr="00BA66D6">
        <w:rPr>
          <w:rFonts w:ascii="Arial" w:hAnsi="Arial" w:cs="Arial"/>
          <w:i/>
          <w:color w:val="595959" w:themeColor="text1" w:themeTint="A6"/>
          <w:shd w:val="clear" w:color="auto" w:fill="FFFFFF"/>
        </w:rPr>
        <w:t xml:space="preserve">this acknowledgement understands that </w:t>
      </w:r>
      <w:r w:rsidR="008F5483" w:rsidRPr="00BA66D6">
        <w:rPr>
          <w:rFonts w:ascii="Arial" w:hAnsi="Arial" w:cs="Arial"/>
          <w:i/>
          <w:color w:val="595959" w:themeColor="text1" w:themeTint="A6"/>
          <w:shd w:val="clear" w:color="auto" w:fill="FFFFFF"/>
        </w:rPr>
        <w:t xml:space="preserve">this is a requirement of </w:t>
      </w:r>
      <w:r w:rsidR="005B6C02" w:rsidRPr="00BA66D6">
        <w:rPr>
          <w:rFonts w:ascii="Arial" w:hAnsi="Arial" w:cs="Arial"/>
          <w:i/>
          <w:color w:val="595959" w:themeColor="text1" w:themeTint="A6"/>
          <w:shd w:val="clear" w:color="auto" w:fill="FFFFFF"/>
        </w:rPr>
        <w:t>the City’s Inclusionary Housing Program.</w:t>
      </w:r>
    </w:p>
    <w:p w14:paraId="3225DD89" w14:textId="77777777" w:rsidR="005B6C02" w:rsidRPr="005B6C02" w:rsidRDefault="005B6C02" w:rsidP="4C2B5F89">
      <w:pPr>
        <w:rPr>
          <w:rFonts w:ascii="Arial" w:eastAsia="Arial" w:hAnsi="Arial" w:cs="Arial"/>
          <w:iCs/>
        </w:rPr>
      </w:pPr>
    </w:p>
    <w:sectPr w:rsidR="005B6C02" w:rsidRPr="005B6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9D4673"/>
    <w:multiLevelType w:val="hybridMultilevel"/>
    <w:tmpl w:val="D6200896"/>
    <w:lvl w:ilvl="0" w:tplc="A6860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98FC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1C55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D8FC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7404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A6D4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C268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2A49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EEF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6D9E4C"/>
    <w:rsid w:val="00073845"/>
    <w:rsid w:val="000A6A37"/>
    <w:rsid w:val="000F056A"/>
    <w:rsid w:val="001315A1"/>
    <w:rsid w:val="00156002"/>
    <w:rsid w:val="001741D0"/>
    <w:rsid w:val="001C5D7C"/>
    <w:rsid w:val="001E6A44"/>
    <w:rsid w:val="00227770"/>
    <w:rsid w:val="00242DB8"/>
    <w:rsid w:val="002B1AFB"/>
    <w:rsid w:val="002C30D4"/>
    <w:rsid w:val="00310A1E"/>
    <w:rsid w:val="00332AC7"/>
    <w:rsid w:val="003C78D9"/>
    <w:rsid w:val="003D241B"/>
    <w:rsid w:val="003E0493"/>
    <w:rsid w:val="00435C64"/>
    <w:rsid w:val="00447B49"/>
    <w:rsid w:val="005B6C02"/>
    <w:rsid w:val="005F65EB"/>
    <w:rsid w:val="00605667"/>
    <w:rsid w:val="006B5AE5"/>
    <w:rsid w:val="006E3840"/>
    <w:rsid w:val="006E3A6C"/>
    <w:rsid w:val="0074073B"/>
    <w:rsid w:val="00746227"/>
    <w:rsid w:val="0076747E"/>
    <w:rsid w:val="007B1D15"/>
    <w:rsid w:val="007B774C"/>
    <w:rsid w:val="00802CFA"/>
    <w:rsid w:val="008512B9"/>
    <w:rsid w:val="00856FE2"/>
    <w:rsid w:val="00884DAF"/>
    <w:rsid w:val="008A0292"/>
    <w:rsid w:val="008E4C0B"/>
    <w:rsid w:val="008F055E"/>
    <w:rsid w:val="008F5483"/>
    <w:rsid w:val="00943951"/>
    <w:rsid w:val="00A107D2"/>
    <w:rsid w:val="00A63F59"/>
    <w:rsid w:val="00A85FAC"/>
    <w:rsid w:val="00B14C7E"/>
    <w:rsid w:val="00B37480"/>
    <w:rsid w:val="00B4557D"/>
    <w:rsid w:val="00B97808"/>
    <w:rsid w:val="00BA66D6"/>
    <w:rsid w:val="00BB58E4"/>
    <w:rsid w:val="00BD1234"/>
    <w:rsid w:val="00BF6919"/>
    <w:rsid w:val="00C02ECA"/>
    <w:rsid w:val="00C15D49"/>
    <w:rsid w:val="00C52233"/>
    <w:rsid w:val="00CE3AE6"/>
    <w:rsid w:val="00D105F3"/>
    <w:rsid w:val="00D11949"/>
    <w:rsid w:val="00D37BBD"/>
    <w:rsid w:val="00DB789A"/>
    <w:rsid w:val="00E059B4"/>
    <w:rsid w:val="00E06590"/>
    <w:rsid w:val="00EF256B"/>
    <w:rsid w:val="00F1601E"/>
    <w:rsid w:val="00F60EB0"/>
    <w:rsid w:val="00F66744"/>
    <w:rsid w:val="00F764C2"/>
    <w:rsid w:val="00FF0D78"/>
    <w:rsid w:val="01877B42"/>
    <w:rsid w:val="0206ABDA"/>
    <w:rsid w:val="03AC3B60"/>
    <w:rsid w:val="069DF949"/>
    <w:rsid w:val="06A93BA7"/>
    <w:rsid w:val="076D9E4C"/>
    <w:rsid w:val="0DF51A08"/>
    <w:rsid w:val="19CA44AC"/>
    <w:rsid w:val="1C303AF6"/>
    <w:rsid w:val="216042BE"/>
    <w:rsid w:val="24FDCF8E"/>
    <w:rsid w:val="30C7AE63"/>
    <w:rsid w:val="312D413A"/>
    <w:rsid w:val="39AA5310"/>
    <w:rsid w:val="3E24556A"/>
    <w:rsid w:val="42C02C9F"/>
    <w:rsid w:val="43B180EE"/>
    <w:rsid w:val="4C2B5F89"/>
    <w:rsid w:val="51527EA6"/>
    <w:rsid w:val="61168DCF"/>
    <w:rsid w:val="698631A0"/>
    <w:rsid w:val="6C5774BB"/>
    <w:rsid w:val="6D7BBEFE"/>
    <w:rsid w:val="6E2311A9"/>
    <w:rsid w:val="738ADE60"/>
    <w:rsid w:val="762E238E"/>
    <w:rsid w:val="766681A7"/>
    <w:rsid w:val="7EBCCEED"/>
    <w:rsid w:val="7FDBC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D9E4C"/>
  <w15:chartTrackingRefBased/>
  <w15:docId w15:val="{C53E4D52-52AB-4694-A50E-FF7400DF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F6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29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292"/>
    <w:rPr>
      <w:rFonts w:ascii="Times New Roman" w:eastAsia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15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4276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88">
          <w:marLeft w:val="0"/>
          <w:marRight w:val="0"/>
          <w:marTop w:val="0"/>
          <w:marBottom w:val="0"/>
          <w:divBdr>
            <w:top w:val="single" w:sz="6" w:space="0" w:color="F1F3F5"/>
            <w:left w:val="single" w:sz="6" w:space="0" w:color="F1F3F5"/>
            <w:bottom w:val="single" w:sz="6" w:space="0" w:color="F1F3F5"/>
            <w:right w:val="single" w:sz="6" w:space="0" w:color="F1F3F5"/>
          </w:divBdr>
          <w:divsChild>
            <w:div w:id="55393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7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7664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14435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03671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09614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1651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2476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5409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3563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0284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50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0911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1878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40328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4594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2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386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881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22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740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62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946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57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04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025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98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658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49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707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461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B32DE91B2AB45B6E8DA5ABA10BB75" ma:contentTypeVersion="2" ma:contentTypeDescription="Create a new document." ma:contentTypeScope="" ma:versionID="9a48fb2a5467c53ae9b3bd8b12b03d3e">
  <xsd:schema xmlns:xsd="http://www.w3.org/2001/XMLSchema" xmlns:xs="http://www.w3.org/2001/XMLSchema" xmlns:p="http://schemas.microsoft.com/office/2006/metadata/properties" xmlns:ns2="6ee3809d-6790-4da3-ad87-6030973e4d01" targetNamespace="http://schemas.microsoft.com/office/2006/metadata/properties" ma:root="true" ma:fieldsID="89acf5dba605558decd18b38d69a0c83" ns2:_="">
    <xsd:import namespace="6ee3809d-6790-4da3-ad87-6030973e4d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3809d-6790-4da3-ad87-6030973e4d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AA61A0-1A56-4266-B685-5078B29C5511}"/>
</file>

<file path=customXml/itemProps2.xml><?xml version="1.0" encoding="utf-8"?>
<ds:datastoreItem xmlns:ds="http://schemas.openxmlformats.org/officeDocument/2006/customXml" ds:itemID="{A910B0A1-9857-4255-BF12-E47C7B15B5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62464-53E5-4F98-A9A4-5C9F53B9C0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Horst</dc:creator>
  <cp:keywords/>
  <dc:description/>
  <cp:lastModifiedBy>Rachel Horst</cp:lastModifiedBy>
  <cp:revision>3</cp:revision>
  <dcterms:created xsi:type="dcterms:W3CDTF">2020-12-09T21:33:00Z</dcterms:created>
  <dcterms:modified xsi:type="dcterms:W3CDTF">2020-12-28T22:14:00Z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0x0101007C3B32DE91B2AB45B6E8DA5ABA10BB75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</Properties>
</file>